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77986" w14:textId="77777777" w:rsidR="00671B2F" w:rsidRPr="00CE44D5" w:rsidRDefault="00671B2F" w:rsidP="00717966">
      <w:pPr>
        <w:autoSpaceDE w:val="0"/>
        <w:autoSpaceDN w:val="0"/>
        <w:adjustRightInd w:val="0"/>
        <w:spacing w:after="200"/>
        <w:jc w:val="center"/>
        <w:rPr>
          <w:rFonts w:ascii="HelveticaNeueLTPro-Md" w:hAnsi="HelveticaNeueLTPro-Md" w:cs="HelveticaNeueLTPro-Md"/>
          <w:color w:val="000000"/>
          <w:sz w:val="32"/>
          <w:szCs w:val="32"/>
        </w:rPr>
      </w:pPr>
      <w:r w:rsidRPr="00CE44D5">
        <w:rPr>
          <w:rFonts w:ascii="HelveticaNeueLTPro-Md" w:hAnsi="HelveticaNeueLTPro-Md" w:cs="HelveticaNeueLTPro-Md"/>
          <w:color w:val="000000"/>
          <w:sz w:val="32"/>
          <w:szCs w:val="32"/>
        </w:rPr>
        <w:t>FORMULÁŘ</w:t>
      </w:r>
    </w:p>
    <w:p w14:paraId="29CDDC54" w14:textId="77777777" w:rsidR="00671B2F" w:rsidRPr="00CE44D5" w:rsidRDefault="00671B2F" w:rsidP="00717966">
      <w:pPr>
        <w:autoSpaceDE w:val="0"/>
        <w:autoSpaceDN w:val="0"/>
        <w:adjustRightInd w:val="0"/>
        <w:spacing w:after="200"/>
        <w:jc w:val="center"/>
        <w:rPr>
          <w:rFonts w:ascii="HelveticaNeueLTPro-Md" w:hAnsi="HelveticaNeueLTPro-Md" w:cs="HelveticaNeueLTPro-Md"/>
          <w:color w:val="000000"/>
          <w:sz w:val="32"/>
          <w:szCs w:val="32"/>
        </w:rPr>
      </w:pPr>
    </w:p>
    <w:p w14:paraId="598A4367" w14:textId="39BA8EE3" w:rsidR="00671B2F" w:rsidRPr="00CE44D5" w:rsidRDefault="00DA32D9" w:rsidP="00717966">
      <w:pPr>
        <w:spacing w:after="200"/>
        <w:jc w:val="center"/>
        <w:rPr>
          <w:rFonts w:ascii="HelveticaNeueLTPro-Md" w:hAnsi="HelveticaNeueLTPro-Md" w:cs="HelveticaNeueLTPro-Md"/>
          <w:color w:val="4D4D4D"/>
          <w:sz w:val="32"/>
          <w:szCs w:val="32"/>
        </w:rPr>
      </w:pPr>
      <w:r>
        <w:rPr>
          <w:rFonts w:ascii="HelveticaNeueLTPro-Md" w:hAnsi="HelveticaNeueLTPro-Md" w:cs="HelveticaNeueLTPro-Md"/>
          <w:color w:val="4D4D4D"/>
          <w:sz w:val="32"/>
          <w:szCs w:val="32"/>
        </w:rPr>
        <w:t>GARANTOVANÉ PARAMETRY</w:t>
      </w:r>
    </w:p>
    <w:p w14:paraId="2848ABCC" w14:textId="77777777" w:rsidR="00671B2F" w:rsidRPr="00CE44D5" w:rsidRDefault="00671B2F" w:rsidP="00671B2F">
      <w:pPr>
        <w:spacing w:after="200"/>
        <w:jc w:val="center"/>
        <w:rPr>
          <w:rFonts w:ascii="HelveticaNeueLTPro-Md" w:hAnsi="HelveticaNeueLTPro-Md" w:cs="HelveticaNeueLTPro-Md"/>
          <w:color w:val="4D4D4D"/>
          <w:sz w:val="32"/>
          <w:szCs w:val="32"/>
        </w:rPr>
      </w:pPr>
    </w:p>
    <w:tbl>
      <w:tblPr>
        <w:tblStyle w:val="Mkatabulky"/>
        <w:tblW w:w="5000" w:type="pct"/>
        <w:tblInd w:w="0" w:type="dxa"/>
        <w:tblLook w:val="04A0" w:firstRow="1" w:lastRow="0" w:firstColumn="1" w:lastColumn="0" w:noHBand="0" w:noVBand="1"/>
      </w:tblPr>
      <w:tblGrid>
        <w:gridCol w:w="1868"/>
        <w:gridCol w:w="4157"/>
        <w:gridCol w:w="1223"/>
        <w:gridCol w:w="2072"/>
        <w:gridCol w:w="1928"/>
        <w:gridCol w:w="2746"/>
      </w:tblGrid>
      <w:tr w:rsidR="006877D5" w:rsidRPr="002C1ECF" w14:paraId="14979BFF" w14:textId="77777777" w:rsidTr="00E92177">
        <w:trPr>
          <w:trHeight w:val="628"/>
        </w:trPr>
        <w:tc>
          <w:tcPr>
            <w:tcW w:w="667" w:type="pct"/>
            <w:vMerge w:val="restart"/>
            <w:vAlign w:val="center"/>
          </w:tcPr>
          <w:p w14:paraId="4C7A51B0" w14:textId="586152F5" w:rsidR="006877D5" w:rsidRPr="002C1ECF" w:rsidRDefault="00E92177" w:rsidP="002C1ECF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Váha</w:t>
            </w:r>
            <w:r w:rsidR="006877D5">
              <w:rPr>
                <w:rFonts w:ascii="Arial" w:hAnsi="Arial" w:cs="Arial"/>
                <w:sz w:val="22"/>
                <w:szCs w:val="22"/>
              </w:rPr>
              <w:t xml:space="preserve"> garantovan</w:t>
            </w:r>
            <w:r>
              <w:rPr>
                <w:rFonts w:ascii="Arial" w:hAnsi="Arial" w:cs="Arial"/>
                <w:sz w:val="22"/>
                <w:szCs w:val="22"/>
              </w:rPr>
              <w:t>ého</w:t>
            </w:r>
            <w:r w:rsidR="006877D5">
              <w:rPr>
                <w:rFonts w:ascii="Arial" w:hAnsi="Arial" w:cs="Arial"/>
                <w:sz w:val="22"/>
                <w:szCs w:val="22"/>
              </w:rPr>
              <w:t xml:space="preserve"> parametr</w:t>
            </w:r>
            <w:r>
              <w:rPr>
                <w:rFonts w:ascii="Arial" w:hAnsi="Arial" w:cs="Arial"/>
                <w:sz w:val="22"/>
                <w:szCs w:val="22"/>
              </w:rPr>
              <w:t>u</w:t>
            </w:r>
          </w:p>
        </w:tc>
        <w:tc>
          <w:tcPr>
            <w:tcW w:w="1485" w:type="pct"/>
            <w:vMerge w:val="restart"/>
            <w:vAlign w:val="center"/>
          </w:tcPr>
          <w:p w14:paraId="2954D9D0" w14:textId="724249CE" w:rsidR="002C1ECF" w:rsidRPr="002C1ECF" w:rsidRDefault="002C1ECF" w:rsidP="002C1ECF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1ECF">
              <w:rPr>
                <w:rFonts w:ascii="Arial" w:hAnsi="Arial" w:cs="Arial"/>
                <w:sz w:val="22"/>
                <w:szCs w:val="22"/>
              </w:rPr>
              <w:t>Název</w:t>
            </w:r>
            <w:r w:rsidR="00E92177">
              <w:rPr>
                <w:rFonts w:ascii="Arial" w:hAnsi="Arial" w:cs="Arial"/>
                <w:sz w:val="22"/>
                <w:szCs w:val="22"/>
              </w:rPr>
              <w:t xml:space="preserve"> garantovaného parametru</w:t>
            </w:r>
          </w:p>
        </w:tc>
        <w:tc>
          <w:tcPr>
            <w:tcW w:w="437" w:type="pct"/>
            <w:vMerge w:val="restart"/>
            <w:vAlign w:val="center"/>
          </w:tcPr>
          <w:p w14:paraId="087A5C21" w14:textId="77777777" w:rsidR="002C1ECF" w:rsidRPr="002C1ECF" w:rsidRDefault="002C1ECF" w:rsidP="002C1ECF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1ECF">
              <w:rPr>
                <w:rFonts w:ascii="Arial" w:hAnsi="Arial" w:cs="Arial"/>
                <w:sz w:val="22"/>
                <w:szCs w:val="22"/>
              </w:rPr>
              <w:t>Jednotka</w:t>
            </w:r>
          </w:p>
        </w:tc>
        <w:tc>
          <w:tcPr>
            <w:tcW w:w="740" w:type="pct"/>
            <w:vMerge w:val="restart"/>
            <w:vAlign w:val="center"/>
          </w:tcPr>
          <w:p w14:paraId="592D0D91" w14:textId="77777777" w:rsidR="002C1ECF" w:rsidRPr="002C1ECF" w:rsidRDefault="002C1ECF" w:rsidP="002C1ECF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1ECF">
              <w:rPr>
                <w:rFonts w:ascii="Arial" w:hAnsi="Arial" w:cs="Arial"/>
                <w:sz w:val="22"/>
                <w:szCs w:val="22"/>
              </w:rPr>
              <w:t>Hodnota garantovaná zhotovitelem</w:t>
            </w:r>
          </w:p>
        </w:tc>
        <w:tc>
          <w:tcPr>
            <w:tcW w:w="1670" w:type="pct"/>
            <w:gridSpan w:val="2"/>
            <w:vAlign w:val="center"/>
          </w:tcPr>
          <w:p w14:paraId="306E5AA1" w14:textId="77777777" w:rsidR="002C1ECF" w:rsidRPr="002C1ECF" w:rsidRDefault="002C1ECF" w:rsidP="002C1ECF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1ECF">
              <w:rPr>
                <w:rFonts w:ascii="Arial" w:hAnsi="Arial" w:cs="Arial"/>
                <w:sz w:val="22"/>
                <w:szCs w:val="22"/>
              </w:rPr>
              <w:t>Definovaný interval</w:t>
            </w:r>
          </w:p>
        </w:tc>
      </w:tr>
      <w:tr w:rsidR="001C512D" w:rsidRPr="002C1ECF" w14:paraId="0B35FB10" w14:textId="77777777" w:rsidTr="00E92177">
        <w:tc>
          <w:tcPr>
            <w:tcW w:w="667" w:type="pct"/>
            <w:vMerge/>
            <w:vAlign w:val="center"/>
          </w:tcPr>
          <w:p w14:paraId="17484062" w14:textId="77777777" w:rsidR="002C1ECF" w:rsidRPr="002C1ECF" w:rsidRDefault="002C1ECF" w:rsidP="002C1ECF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85" w:type="pct"/>
            <w:vMerge/>
            <w:vAlign w:val="center"/>
          </w:tcPr>
          <w:p w14:paraId="49DAB2AA" w14:textId="77777777" w:rsidR="002C1ECF" w:rsidRPr="002C1ECF" w:rsidRDefault="002C1ECF" w:rsidP="002C1ECF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7" w:type="pct"/>
            <w:vMerge/>
            <w:vAlign w:val="center"/>
          </w:tcPr>
          <w:p w14:paraId="6604ED09" w14:textId="77777777" w:rsidR="002C1ECF" w:rsidRPr="002C1ECF" w:rsidRDefault="002C1ECF" w:rsidP="002C1ECF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40" w:type="pct"/>
            <w:vMerge/>
            <w:vAlign w:val="center"/>
          </w:tcPr>
          <w:p w14:paraId="660664D5" w14:textId="77777777" w:rsidR="002C1ECF" w:rsidRPr="002C1ECF" w:rsidRDefault="002C1ECF" w:rsidP="002C1ECF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9" w:type="pct"/>
            <w:vAlign w:val="center"/>
          </w:tcPr>
          <w:p w14:paraId="1E57352B" w14:textId="77777777" w:rsidR="002C1ECF" w:rsidRPr="002C1ECF" w:rsidRDefault="002C1ECF" w:rsidP="002C1ECF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1ECF">
              <w:rPr>
                <w:rFonts w:ascii="Arial" w:hAnsi="Arial" w:cs="Arial"/>
                <w:sz w:val="22"/>
                <w:szCs w:val="22"/>
              </w:rPr>
              <w:t>Nepřekročitelná hodnota</w:t>
            </w:r>
          </w:p>
        </w:tc>
        <w:tc>
          <w:tcPr>
            <w:tcW w:w="980" w:type="pct"/>
            <w:vAlign w:val="center"/>
          </w:tcPr>
          <w:p w14:paraId="129F7AC8" w14:textId="77777777" w:rsidR="002C1ECF" w:rsidRPr="002C1ECF" w:rsidRDefault="002C1ECF" w:rsidP="002C1ECF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1ECF">
              <w:rPr>
                <w:rFonts w:ascii="Arial" w:hAnsi="Arial" w:cs="Arial"/>
                <w:sz w:val="22"/>
                <w:szCs w:val="22"/>
              </w:rPr>
              <w:t>Limitní hodnota vyžadující zdůvodnění</w:t>
            </w:r>
          </w:p>
        </w:tc>
      </w:tr>
      <w:tr w:rsidR="001C512D" w:rsidRPr="002C1ECF" w14:paraId="6C4AB237" w14:textId="77777777" w:rsidTr="00E92177">
        <w:tc>
          <w:tcPr>
            <w:tcW w:w="667" w:type="pct"/>
            <w:vAlign w:val="center"/>
          </w:tcPr>
          <w:p w14:paraId="30ED5554" w14:textId="028B0614" w:rsidR="002C1ECF" w:rsidRPr="002C1ECF" w:rsidRDefault="00E92177" w:rsidP="002C1ECF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1 %</w:t>
            </w:r>
          </w:p>
        </w:tc>
        <w:tc>
          <w:tcPr>
            <w:tcW w:w="1485" w:type="pct"/>
            <w:vAlign w:val="center"/>
          </w:tcPr>
          <w:p w14:paraId="1BEF3A0E" w14:textId="77777777" w:rsidR="002C1ECF" w:rsidRPr="002C1ECF" w:rsidRDefault="002C1ECF" w:rsidP="002C1ECF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bookmarkStart w:id="0" w:name="_Hlk112672151"/>
            <w:r w:rsidRPr="002C1ECF">
              <w:rPr>
                <w:rFonts w:ascii="Arial" w:hAnsi="Arial" w:cs="Arial"/>
                <w:sz w:val="22"/>
                <w:szCs w:val="22"/>
              </w:rPr>
              <w:t>Elektrický příkon míchacího zařízení vyhnívací nádrže</w:t>
            </w:r>
            <w:bookmarkEnd w:id="0"/>
          </w:p>
        </w:tc>
        <w:tc>
          <w:tcPr>
            <w:tcW w:w="437" w:type="pct"/>
            <w:vAlign w:val="center"/>
          </w:tcPr>
          <w:p w14:paraId="4392E9F3" w14:textId="7201A446" w:rsidR="002C1ECF" w:rsidRPr="00FC1D51" w:rsidRDefault="002C1ECF" w:rsidP="002C1ECF">
            <w:pPr>
              <w:jc w:val="left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2C1ECF">
              <w:rPr>
                <w:rFonts w:ascii="Arial" w:hAnsi="Arial" w:cs="Arial"/>
                <w:sz w:val="22"/>
                <w:szCs w:val="22"/>
              </w:rPr>
              <w:t>W/m</w:t>
            </w:r>
            <w:r w:rsidR="00E92177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40" w:type="pct"/>
            <w:vAlign w:val="center"/>
          </w:tcPr>
          <w:p w14:paraId="7625F853" w14:textId="5C4398F9" w:rsidR="002C1ECF" w:rsidRPr="001C512D" w:rsidRDefault="001C512D" w:rsidP="002C1ECF">
            <w:pPr>
              <w:jc w:val="left"/>
              <w:rPr>
                <w:rFonts w:ascii="Arial" w:hAnsi="Arial" w:cs="Arial"/>
                <w:sz w:val="22"/>
                <w:szCs w:val="22"/>
                <w:highlight w:val="green"/>
              </w:rPr>
            </w:pPr>
            <w:r w:rsidRPr="001C512D">
              <w:rPr>
                <w:rFonts w:ascii="Arial" w:hAnsi="Arial" w:cs="Arial"/>
                <w:sz w:val="22"/>
                <w:szCs w:val="22"/>
                <w:highlight w:val="green"/>
              </w:rPr>
              <w:fldChar w:fldCharType="begin"/>
            </w:r>
            <w:r w:rsidRPr="001C512D">
              <w:rPr>
                <w:rFonts w:ascii="Arial" w:hAnsi="Arial" w:cs="Arial"/>
                <w:sz w:val="22"/>
                <w:szCs w:val="22"/>
                <w:highlight w:val="green"/>
              </w:rPr>
              <w:instrText xml:space="preserve"> MACROBUTTON  AcceptConflict "[Doplní účastník]" </w:instrText>
            </w:r>
            <w:r w:rsidRPr="001C512D">
              <w:rPr>
                <w:rFonts w:ascii="Arial" w:hAnsi="Arial" w:cs="Arial"/>
                <w:sz w:val="22"/>
                <w:szCs w:val="22"/>
                <w:highlight w:val="green"/>
              </w:rPr>
              <w:fldChar w:fldCharType="end"/>
            </w:r>
          </w:p>
        </w:tc>
        <w:tc>
          <w:tcPr>
            <w:tcW w:w="689" w:type="pct"/>
            <w:vAlign w:val="center"/>
          </w:tcPr>
          <w:p w14:paraId="29B47B52" w14:textId="77777777" w:rsidR="002C1ECF" w:rsidRPr="002C1ECF" w:rsidRDefault="002C1ECF" w:rsidP="002C1ECF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1ECF">
              <w:rPr>
                <w:rFonts w:ascii="Arial" w:hAnsi="Arial" w:cs="Arial"/>
                <w:sz w:val="22"/>
                <w:szCs w:val="22"/>
              </w:rPr>
              <w:t>2,5</w:t>
            </w:r>
          </w:p>
        </w:tc>
        <w:tc>
          <w:tcPr>
            <w:tcW w:w="980" w:type="pct"/>
            <w:vAlign w:val="center"/>
          </w:tcPr>
          <w:p w14:paraId="0BEBB350" w14:textId="77777777" w:rsidR="002C1ECF" w:rsidRPr="002C1ECF" w:rsidRDefault="002C1ECF" w:rsidP="002C1ECF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1ECF">
              <w:rPr>
                <w:rFonts w:ascii="Arial" w:hAnsi="Arial" w:cs="Arial"/>
                <w:sz w:val="22"/>
                <w:szCs w:val="22"/>
              </w:rPr>
              <w:t>0,5 a méně</w:t>
            </w:r>
          </w:p>
        </w:tc>
      </w:tr>
      <w:tr w:rsidR="00E92177" w:rsidRPr="002C1ECF" w14:paraId="20C21F18" w14:textId="77777777" w:rsidTr="00E92177">
        <w:tc>
          <w:tcPr>
            <w:tcW w:w="667" w:type="pct"/>
            <w:vAlign w:val="center"/>
          </w:tcPr>
          <w:p w14:paraId="08A3E3FE" w14:textId="5E726B2F" w:rsidR="00E92177" w:rsidRPr="002C1ECF" w:rsidRDefault="00E92177" w:rsidP="00E9217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1 %</w:t>
            </w:r>
          </w:p>
        </w:tc>
        <w:tc>
          <w:tcPr>
            <w:tcW w:w="1485" w:type="pct"/>
            <w:vAlign w:val="center"/>
          </w:tcPr>
          <w:p w14:paraId="126E2C11" w14:textId="4B8F5C92" w:rsidR="00E92177" w:rsidRPr="002C1ECF" w:rsidRDefault="00E92177" w:rsidP="00E9217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1ECF">
              <w:rPr>
                <w:rFonts w:ascii="Arial" w:hAnsi="Arial" w:cs="Arial"/>
                <w:sz w:val="22"/>
                <w:szCs w:val="22"/>
              </w:rPr>
              <w:t>Spotřeba polymerního flokulantu na odvodnění vyhnilého kalu</w:t>
            </w:r>
          </w:p>
        </w:tc>
        <w:tc>
          <w:tcPr>
            <w:tcW w:w="437" w:type="pct"/>
            <w:vAlign w:val="center"/>
          </w:tcPr>
          <w:p w14:paraId="279D42C6" w14:textId="4D81FE54" w:rsidR="00E92177" w:rsidRPr="002C1ECF" w:rsidRDefault="00E92177" w:rsidP="00E9217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1ECF">
              <w:rPr>
                <w:rFonts w:ascii="Arial" w:hAnsi="Arial" w:cs="Arial"/>
                <w:sz w:val="22"/>
                <w:szCs w:val="22"/>
              </w:rPr>
              <w:t>g/kg sušiny kalu</w:t>
            </w:r>
          </w:p>
        </w:tc>
        <w:tc>
          <w:tcPr>
            <w:tcW w:w="740" w:type="pct"/>
            <w:vAlign w:val="center"/>
          </w:tcPr>
          <w:p w14:paraId="57175B0E" w14:textId="1FB8EE5E" w:rsidR="00E92177" w:rsidRPr="001C512D" w:rsidRDefault="00E92177" w:rsidP="00E92177">
            <w:pPr>
              <w:jc w:val="left"/>
              <w:rPr>
                <w:rFonts w:ascii="Arial" w:hAnsi="Arial" w:cs="Arial"/>
                <w:sz w:val="22"/>
                <w:szCs w:val="22"/>
                <w:highlight w:val="green"/>
              </w:rPr>
            </w:pPr>
            <w:r w:rsidRPr="001C512D">
              <w:rPr>
                <w:rFonts w:ascii="Arial" w:hAnsi="Arial" w:cs="Arial"/>
                <w:sz w:val="22"/>
                <w:szCs w:val="22"/>
                <w:highlight w:val="green"/>
              </w:rPr>
              <w:fldChar w:fldCharType="begin"/>
            </w:r>
            <w:r w:rsidRPr="001C512D">
              <w:rPr>
                <w:rFonts w:ascii="Arial" w:hAnsi="Arial" w:cs="Arial"/>
                <w:sz w:val="22"/>
                <w:szCs w:val="22"/>
                <w:highlight w:val="green"/>
              </w:rPr>
              <w:instrText xml:space="preserve"> MACROBUTTON  AcceptConflict "[Doplní účastník]" </w:instrText>
            </w:r>
            <w:r w:rsidRPr="001C512D">
              <w:rPr>
                <w:rFonts w:ascii="Arial" w:hAnsi="Arial" w:cs="Arial"/>
                <w:sz w:val="22"/>
                <w:szCs w:val="22"/>
                <w:highlight w:val="green"/>
              </w:rPr>
              <w:fldChar w:fldCharType="end"/>
            </w:r>
          </w:p>
        </w:tc>
        <w:tc>
          <w:tcPr>
            <w:tcW w:w="689" w:type="pct"/>
            <w:vAlign w:val="center"/>
          </w:tcPr>
          <w:p w14:paraId="360CF99C" w14:textId="191ACCE6" w:rsidR="00E92177" w:rsidRPr="002C1ECF" w:rsidRDefault="00E92177" w:rsidP="00E9217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980" w:type="pct"/>
            <w:vAlign w:val="center"/>
          </w:tcPr>
          <w:p w14:paraId="2AD0A120" w14:textId="42D76FF2" w:rsidR="00E92177" w:rsidRPr="002C1ECF" w:rsidRDefault="00E92177" w:rsidP="00E9217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1ECF">
              <w:rPr>
                <w:rFonts w:ascii="Arial" w:hAnsi="Arial" w:cs="Arial"/>
                <w:sz w:val="22"/>
                <w:szCs w:val="22"/>
              </w:rPr>
              <w:t>5 a méně</w:t>
            </w:r>
          </w:p>
        </w:tc>
      </w:tr>
      <w:tr w:rsidR="00E92177" w:rsidRPr="002C1ECF" w14:paraId="0B3E6BA2" w14:textId="77777777" w:rsidTr="00E92177">
        <w:tc>
          <w:tcPr>
            <w:tcW w:w="667" w:type="pct"/>
            <w:vAlign w:val="center"/>
          </w:tcPr>
          <w:p w14:paraId="522FA6B9" w14:textId="5D07A2F6" w:rsidR="00E92177" w:rsidRPr="002C1ECF" w:rsidRDefault="00E92177" w:rsidP="00E9217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2 %</w:t>
            </w:r>
          </w:p>
        </w:tc>
        <w:tc>
          <w:tcPr>
            <w:tcW w:w="1485" w:type="pct"/>
            <w:vAlign w:val="center"/>
          </w:tcPr>
          <w:p w14:paraId="091BDA3B" w14:textId="77777777" w:rsidR="00E92177" w:rsidRPr="002C1ECF" w:rsidRDefault="00E92177" w:rsidP="00E9217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1ECF">
              <w:rPr>
                <w:rFonts w:ascii="Arial" w:hAnsi="Arial" w:cs="Arial"/>
                <w:sz w:val="22"/>
                <w:szCs w:val="22"/>
              </w:rPr>
              <w:t>Spotřeba elektrické energie na sušárnu kalů včetně příslušenství</w:t>
            </w:r>
          </w:p>
        </w:tc>
        <w:tc>
          <w:tcPr>
            <w:tcW w:w="437" w:type="pct"/>
            <w:vAlign w:val="center"/>
          </w:tcPr>
          <w:p w14:paraId="0C8FC6CE" w14:textId="77777777" w:rsidR="00E92177" w:rsidRPr="002C1ECF" w:rsidRDefault="00E92177" w:rsidP="00E9217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1ECF">
              <w:rPr>
                <w:rFonts w:ascii="Arial" w:hAnsi="Arial" w:cs="Arial"/>
                <w:sz w:val="22"/>
                <w:szCs w:val="22"/>
              </w:rPr>
              <w:t>kWh/kg sušiny</w:t>
            </w:r>
          </w:p>
        </w:tc>
        <w:tc>
          <w:tcPr>
            <w:tcW w:w="740" w:type="pct"/>
            <w:vAlign w:val="center"/>
          </w:tcPr>
          <w:p w14:paraId="02CA7740" w14:textId="149D5F2C" w:rsidR="00E92177" w:rsidRPr="001C512D" w:rsidRDefault="00E92177" w:rsidP="00E92177">
            <w:pPr>
              <w:jc w:val="left"/>
              <w:rPr>
                <w:rFonts w:ascii="Arial" w:hAnsi="Arial" w:cs="Arial"/>
                <w:sz w:val="22"/>
                <w:szCs w:val="22"/>
                <w:highlight w:val="green"/>
              </w:rPr>
            </w:pPr>
            <w:r w:rsidRPr="001C512D">
              <w:rPr>
                <w:rFonts w:ascii="Arial" w:hAnsi="Arial" w:cs="Arial"/>
                <w:sz w:val="22"/>
                <w:szCs w:val="22"/>
                <w:highlight w:val="green"/>
              </w:rPr>
              <w:fldChar w:fldCharType="begin"/>
            </w:r>
            <w:r w:rsidRPr="001C512D">
              <w:rPr>
                <w:rFonts w:ascii="Arial" w:hAnsi="Arial" w:cs="Arial"/>
                <w:sz w:val="22"/>
                <w:szCs w:val="22"/>
                <w:highlight w:val="green"/>
              </w:rPr>
              <w:instrText xml:space="preserve"> MACROBUTTON  AcceptConflict "[Doplní účastník]" </w:instrText>
            </w:r>
            <w:r w:rsidRPr="001C512D">
              <w:rPr>
                <w:rFonts w:ascii="Arial" w:hAnsi="Arial" w:cs="Arial"/>
                <w:sz w:val="22"/>
                <w:szCs w:val="22"/>
                <w:highlight w:val="green"/>
              </w:rPr>
              <w:fldChar w:fldCharType="end"/>
            </w:r>
          </w:p>
        </w:tc>
        <w:tc>
          <w:tcPr>
            <w:tcW w:w="689" w:type="pct"/>
            <w:vAlign w:val="center"/>
          </w:tcPr>
          <w:p w14:paraId="2C4D7E62" w14:textId="77777777" w:rsidR="00E92177" w:rsidRPr="002C1ECF" w:rsidRDefault="00E92177" w:rsidP="00E9217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1ECF">
              <w:rPr>
                <w:rFonts w:ascii="Arial" w:hAnsi="Arial" w:cs="Arial"/>
                <w:sz w:val="22"/>
                <w:szCs w:val="22"/>
              </w:rPr>
              <w:t>0,6</w:t>
            </w:r>
          </w:p>
        </w:tc>
        <w:tc>
          <w:tcPr>
            <w:tcW w:w="980" w:type="pct"/>
            <w:vAlign w:val="center"/>
          </w:tcPr>
          <w:p w14:paraId="33F64EEB" w14:textId="77777777" w:rsidR="00E92177" w:rsidRPr="002C1ECF" w:rsidRDefault="00E92177" w:rsidP="00E9217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1ECF">
              <w:rPr>
                <w:rFonts w:ascii="Arial" w:hAnsi="Arial" w:cs="Arial"/>
                <w:sz w:val="22"/>
                <w:szCs w:val="22"/>
              </w:rPr>
              <w:t>0,2 a méně</w:t>
            </w:r>
          </w:p>
        </w:tc>
      </w:tr>
      <w:tr w:rsidR="00E92177" w:rsidRPr="002C1ECF" w14:paraId="1585404E" w14:textId="77777777" w:rsidTr="00E92177">
        <w:tc>
          <w:tcPr>
            <w:tcW w:w="667" w:type="pct"/>
            <w:vAlign w:val="center"/>
          </w:tcPr>
          <w:p w14:paraId="74B3ECA8" w14:textId="2D72E231" w:rsidR="00E92177" w:rsidRPr="002C1ECF" w:rsidRDefault="00E92177" w:rsidP="00E9217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6 %</w:t>
            </w:r>
          </w:p>
        </w:tc>
        <w:tc>
          <w:tcPr>
            <w:tcW w:w="1485" w:type="pct"/>
            <w:vAlign w:val="center"/>
          </w:tcPr>
          <w:p w14:paraId="358ADBD3" w14:textId="3B8DC602" w:rsidR="00E92177" w:rsidRPr="002C1ECF" w:rsidRDefault="00E92177" w:rsidP="00E9217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E92177">
              <w:rPr>
                <w:rFonts w:ascii="Arial" w:hAnsi="Arial" w:cs="Arial"/>
                <w:sz w:val="22"/>
                <w:szCs w:val="22"/>
              </w:rPr>
              <w:t>Spotřeba tepelné energie na sušárnu kalů</w:t>
            </w:r>
          </w:p>
        </w:tc>
        <w:tc>
          <w:tcPr>
            <w:tcW w:w="437" w:type="pct"/>
            <w:vAlign w:val="center"/>
          </w:tcPr>
          <w:p w14:paraId="2B1FEB9F" w14:textId="132DAA19" w:rsidR="00E92177" w:rsidRPr="002C1ECF" w:rsidRDefault="00E92177" w:rsidP="00E9217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E92177">
              <w:rPr>
                <w:rFonts w:ascii="Arial" w:hAnsi="Arial" w:cs="Arial"/>
                <w:sz w:val="22"/>
                <w:szCs w:val="22"/>
              </w:rPr>
              <w:t>kWh/kg sušiny</w:t>
            </w:r>
          </w:p>
        </w:tc>
        <w:tc>
          <w:tcPr>
            <w:tcW w:w="740" w:type="pct"/>
            <w:vAlign w:val="center"/>
          </w:tcPr>
          <w:p w14:paraId="029EEE8F" w14:textId="7458D859" w:rsidR="00E92177" w:rsidRPr="001C512D" w:rsidRDefault="00E92177" w:rsidP="00E92177">
            <w:pPr>
              <w:jc w:val="left"/>
              <w:rPr>
                <w:rFonts w:ascii="Arial" w:hAnsi="Arial" w:cs="Arial"/>
                <w:sz w:val="22"/>
                <w:szCs w:val="22"/>
                <w:highlight w:val="green"/>
              </w:rPr>
            </w:pPr>
            <w:r w:rsidRPr="001C512D">
              <w:rPr>
                <w:rFonts w:ascii="Arial" w:hAnsi="Arial" w:cs="Arial"/>
                <w:sz w:val="22"/>
                <w:szCs w:val="22"/>
                <w:highlight w:val="green"/>
              </w:rPr>
              <w:fldChar w:fldCharType="begin"/>
            </w:r>
            <w:r w:rsidRPr="001C512D">
              <w:rPr>
                <w:rFonts w:ascii="Arial" w:hAnsi="Arial" w:cs="Arial"/>
                <w:sz w:val="22"/>
                <w:szCs w:val="22"/>
                <w:highlight w:val="green"/>
              </w:rPr>
              <w:instrText xml:space="preserve"> MACROBUTTON  AcceptConflict "[Doplní účastník]" </w:instrText>
            </w:r>
            <w:r w:rsidRPr="001C512D">
              <w:rPr>
                <w:rFonts w:ascii="Arial" w:hAnsi="Arial" w:cs="Arial"/>
                <w:sz w:val="22"/>
                <w:szCs w:val="22"/>
                <w:highlight w:val="green"/>
              </w:rPr>
              <w:fldChar w:fldCharType="end"/>
            </w:r>
          </w:p>
        </w:tc>
        <w:tc>
          <w:tcPr>
            <w:tcW w:w="689" w:type="pct"/>
            <w:vAlign w:val="center"/>
          </w:tcPr>
          <w:p w14:paraId="2632957B" w14:textId="49D0712B" w:rsidR="00E92177" w:rsidRPr="002C1ECF" w:rsidRDefault="00E92177" w:rsidP="00E9217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2,8</w:t>
            </w:r>
          </w:p>
        </w:tc>
        <w:tc>
          <w:tcPr>
            <w:tcW w:w="980" w:type="pct"/>
            <w:vAlign w:val="center"/>
          </w:tcPr>
          <w:p w14:paraId="7D9D45A2" w14:textId="703BEE68" w:rsidR="00E92177" w:rsidRPr="002C1ECF" w:rsidRDefault="00E92177" w:rsidP="00E9217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1,7</w:t>
            </w:r>
            <w:r w:rsidRPr="002C1ECF">
              <w:rPr>
                <w:rFonts w:ascii="Arial" w:hAnsi="Arial" w:cs="Arial"/>
                <w:sz w:val="22"/>
                <w:szCs w:val="22"/>
              </w:rPr>
              <w:t xml:space="preserve"> a méně</w:t>
            </w:r>
          </w:p>
        </w:tc>
      </w:tr>
    </w:tbl>
    <w:p w14:paraId="3400ABE8" w14:textId="77777777" w:rsidR="002C1ECF" w:rsidRPr="002C1ECF" w:rsidRDefault="002C1ECF" w:rsidP="002C1ECF">
      <w:pPr>
        <w:rPr>
          <w:rFonts w:ascii="Arial" w:hAnsi="Arial" w:cs="Arial"/>
          <w:sz w:val="22"/>
          <w:szCs w:val="22"/>
        </w:rPr>
      </w:pPr>
    </w:p>
    <w:p w14:paraId="18CFA645" w14:textId="77777777" w:rsidR="002C1ECF" w:rsidRPr="00FC1D51" w:rsidRDefault="002C1ECF" w:rsidP="00FA2BC7">
      <w:pPr>
        <w:rPr>
          <w:rFonts w:ascii="Arial" w:hAnsi="Arial" w:cs="Arial"/>
          <w:sz w:val="22"/>
          <w:szCs w:val="22"/>
          <w:u w:val="single"/>
        </w:rPr>
      </w:pPr>
      <w:r w:rsidRPr="00FC1D51">
        <w:rPr>
          <w:rFonts w:ascii="Arial" w:hAnsi="Arial" w:cs="Arial"/>
          <w:sz w:val="22"/>
          <w:szCs w:val="22"/>
          <w:u w:val="single"/>
        </w:rPr>
        <w:t>Podmínky měření:</w:t>
      </w:r>
    </w:p>
    <w:p w14:paraId="48F14983" w14:textId="137AE773" w:rsidR="00FA2BC7" w:rsidRDefault="00FA2BC7" w:rsidP="00FA2BC7">
      <w:pPr>
        <w:ind w:left="2127" w:hanging="2127"/>
        <w:rPr>
          <w:rFonts w:ascii="Arial" w:hAnsi="Arial" w:cs="Arial"/>
          <w:sz w:val="22"/>
          <w:szCs w:val="22"/>
        </w:rPr>
      </w:pPr>
      <w:r w:rsidRPr="00FA2BC7">
        <w:rPr>
          <w:rFonts w:ascii="Arial" w:hAnsi="Arial" w:cs="Arial"/>
          <w:sz w:val="22"/>
          <w:szCs w:val="22"/>
        </w:rPr>
        <w:t>Elektrický příkon míchacího zařízení vyhnívací nádrže</w:t>
      </w:r>
      <w:r w:rsidR="002C1ECF" w:rsidRPr="002C1ECF">
        <w:rPr>
          <w:rFonts w:ascii="Arial" w:hAnsi="Arial" w:cs="Arial"/>
          <w:sz w:val="22"/>
          <w:szCs w:val="22"/>
        </w:rPr>
        <w:t xml:space="preserve">: </w:t>
      </w:r>
    </w:p>
    <w:p w14:paraId="712A6760" w14:textId="7BBADE66" w:rsidR="002C1ECF" w:rsidRPr="002C1ECF" w:rsidRDefault="002C1ECF" w:rsidP="00FC1D51">
      <w:pPr>
        <w:spacing w:after="120"/>
        <w:ind w:left="2127"/>
        <w:rPr>
          <w:rFonts w:ascii="Arial" w:hAnsi="Arial" w:cs="Arial"/>
          <w:sz w:val="22"/>
          <w:szCs w:val="22"/>
        </w:rPr>
      </w:pPr>
      <w:r w:rsidRPr="002C1ECF">
        <w:rPr>
          <w:rFonts w:ascii="Arial" w:hAnsi="Arial" w:cs="Arial"/>
          <w:sz w:val="22"/>
          <w:szCs w:val="22"/>
        </w:rPr>
        <w:t>Průměrná spotřeba elektrické energie za zvolené období na míchání vyhnívací nádrže. Měření bude probíhat při maximálním objemu kalu ve VN. Čerpání kalu do výměníků na ohřev VN bude v průběhu měření v provozu.</w:t>
      </w:r>
    </w:p>
    <w:p w14:paraId="73EC9A48" w14:textId="370AF0BF" w:rsidR="00FA2BC7" w:rsidRDefault="00FA2BC7" w:rsidP="002C1ECF">
      <w:pPr>
        <w:ind w:left="2124" w:hanging="2124"/>
        <w:rPr>
          <w:rFonts w:ascii="Arial" w:hAnsi="Arial" w:cs="Arial"/>
          <w:sz w:val="22"/>
          <w:szCs w:val="22"/>
        </w:rPr>
      </w:pPr>
      <w:r w:rsidRPr="002C1ECF">
        <w:rPr>
          <w:rFonts w:ascii="Arial" w:hAnsi="Arial" w:cs="Arial"/>
          <w:sz w:val="22"/>
          <w:szCs w:val="22"/>
        </w:rPr>
        <w:t>Spotřeba polymerního flokulantu na odvodnění vyhnilého kalu</w:t>
      </w:r>
      <w:r w:rsidR="002C1ECF" w:rsidRPr="002C1ECF">
        <w:rPr>
          <w:rFonts w:ascii="Arial" w:hAnsi="Arial" w:cs="Arial"/>
          <w:sz w:val="22"/>
          <w:szCs w:val="22"/>
        </w:rPr>
        <w:t>:</w:t>
      </w:r>
    </w:p>
    <w:p w14:paraId="02CCC491" w14:textId="03758DF2" w:rsidR="002C1ECF" w:rsidRPr="002C1ECF" w:rsidRDefault="002C1ECF" w:rsidP="00FC1D51">
      <w:pPr>
        <w:spacing w:after="120"/>
        <w:ind w:left="2124" w:hanging="2124"/>
        <w:rPr>
          <w:rFonts w:ascii="Arial" w:hAnsi="Arial" w:cs="Arial"/>
          <w:sz w:val="22"/>
          <w:szCs w:val="22"/>
        </w:rPr>
      </w:pPr>
      <w:r w:rsidRPr="002C1ECF">
        <w:rPr>
          <w:rFonts w:ascii="Arial" w:hAnsi="Arial" w:cs="Arial"/>
          <w:sz w:val="22"/>
          <w:szCs w:val="22"/>
        </w:rPr>
        <w:tab/>
      </w:r>
      <w:r w:rsidR="00FA2BC7" w:rsidRPr="002C1ECF">
        <w:rPr>
          <w:rFonts w:ascii="Arial" w:hAnsi="Arial" w:cs="Arial"/>
          <w:sz w:val="22"/>
          <w:szCs w:val="22"/>
        </w:rPr>
        <w:t>Průměrná spotřeba polymerního flokulantu za zvolené období bude vypočtená vydělením bilanční hodnoty spotřebovaného polymerního flokulantu bilanční hodnotou sušiny odvodněného kalu za uvedené období.</w:t>
      </w:r>
    </w:p>
    <w:p w14:paraId="213E0856" w14:textId="68B03589" w:rsidR="00FA2BC7" w:rsidRDefault="00FA2BC7" w:rsidP="002C1ECF">
      <w:pPr>
        <w:ind w:left="2124" w:hanging="2124"/>
        <w:rPr>
          <w:rFonts w:ascii="Arial" w:hAnsi="Arial" w:cs="Arial"/>
          <w:sz w:val="22"/>
          <w:szCs w:val="22"/>
        </w:rPr>
      </w:pPr>
      <w:r w:rsidRPr="002C1ECF">
        <w:rPr>
          <w:rFonts w:ascii="Arial" w:hAnsi="Arial" w:cs="Arial"/>
          <w:sz w:val="22"/>
          <w:szCs w:val="22"/>
        </w:rPr>
        <w:t>Spotřeba elektrické energie na sušárnu kalů včetně příslušenství</w:t>
      </w:r>
      <w:r w:rsidR="002C1ECF" w:rsidRPr="002C1ECF">
        <w:rPr>
          <w:rFonts w:ascii="Arial" w:hAnsi="Arial" w:cs="Arial"/>
          <w:sz w:val="22"/>
          <w:szCs w:val="22"/>
        </w:rPr>
        <w:t>:</w:t>
      </w:r>
    </w:p>
    <w:p w14:paraId="049D975E" w14:textId="73FB1F95" w:rsidR="002C1ECF" w:rsidRPr="002C1ECF" w:rsidRDefault="002C1ECF" w:rsidP="002C1ECF">
      <w:pPr>
        <w:ind w:left="2124" w:hanging="2124"/>
        <w:rPr>
          <w:rFonts w:ascii="Arial" w:hAnsi="Arial" w:cs="Arial"/>
          <w:sz w:val="22"/>
          <w:szCs w:val="22"/>
        </w:rPr>
      </w:pPr>
      <w:r w:rsidRPr="002C1ECF">
        <w:rPr>
          <w:rFonts w:ascii="Arial" w:hAnsi="Arial" w:cs="Arial"/>
          <w:sz w:val="22"/>
          <w:szCs w:val="22"/>
        </w:rPr>
        <w:tab/>
        <w:t xml:space="preserve">Průměrná spotřeba elektrické energie bude suma spotřeby elektrické energie za zvolené období vydělená bilanční hodnotou sušiny usušeného kalu. Spotřeba elektrické energie sušárny bude zahrnovat všechna zařízení od podávacího </w:t>
      </w:r>
      <w:r w:rsidRPr="002C1ECF">
        <w:rPr>
          <w:rFonts w:ascii="Arial" w:hAnsi="Arial" w:cs="Arial"/>
          <w:sz w:val="22"/>
          <w:szCs w:val="22"/>
        </w:rPr>
        <w:lastRenderedPageBreak/>
        <w:t>čerpadla odvodněného kalu z</w:t>
      </w:r>
      <w:r w:rsidR="00FA2BC7">
        <w:rPr>
          <w:rFonts w:ascii="Arial" w:hAnsi="Arial" w:cs="Arial"/>
          <w:sz w:val="22"/>
          <w:szCs w:val="22"/>
        </w:rPr>
        <w:t> </w:t>
      </w:r>
      <w:r w:rsidRPr="002C1ECF">
        <w:rPr>
          <w:rFonts w:ascii="Arial" w:hAnsi="Arial" w:cs="Arial"/>
          <w:sz w:val="22"/>
          <w:szCs w:val="22"/>
        </w:rPr>
        <w:t xml:space="preserve">bunkru před sušárnou až po plnění kontejnerů usušeným kalem a výduch vzduchu odcházejícího ze sušárny až za </w:t>
      </w:r>
      <w:proofErr w:type="spellStart"/>
      <w:r w:rsidRPr="002C1ECF">
        <w:rPr>
          <w:rFonts w:ascii="Arial" w:hAnsi="Arial" w:cs="Arial"/>
          <w:sz w:val="22"/>
          <w:szCs w:val="22"/>
        </w:rPr>
        <w:t>biofiltry</w:t>
      </w:r>
      <w:proofErr w:type="spellEnd"/>
      <w:r w:rsidR="00FA2BC7">
        <w:rPr>
          <w:rFonts w:ascii="Arial" w:hAnsi="Arial" w:cs="Arial"/>
          <w:sz w:val="22"/>
          <w:szCs w:val="22"/>
        </w:rPr>
        <w:t>.</w:t>
      </w:r>
      <w:r w:rsidRPr="002C1ECF">
        <w:rPr>
          <w:rFonts w:ascii="Arial" w:hAnsi="Arial" w:cs="Arial"/>
          <w:sz w:val="22"/>
          <w:szCs w:val="22"/>
        </w:rPr>
        <w:t xml:space="preserve"> </w:t>
      </w:r>
    </w:p>
    <w:p w14:paraId="48C671AE" w14:textId="7226B57E" w:rsidR="00FA2BC7" w:rsidRDefault="00FA2BC7" w:rsidP="002C1ECF">
      <w:pPr>
        <w:ind w:left="2120" w:hanging="2120"/>
        <w:rPr>
          <w:rFonts w:ascii="Arial" w:hAnsi="Arial" w:cs="Arial"/>
          <w:sz w:val="22"/>
          <w:szCs w:val="22"/>
        </w:rPr>
      </w:pPr>
      <w:r w:rsidRPr="00E92177">
        <w:rPr>
          <w:rFonts w:ascii="Arial" w:hAnsi="Arial" w:cs="Arial"/>
          <w:sz w:val="22"/>
          <w:szCs w:val="22"/>
        </w:rPr>
        <w:t>Spotřeba tepelné energie na sušárnu kalů</w:t>
      </w:r>
      <w:r w:rsidR="002C1ECF" w:rsidRPr="002C1ECF">
        <w:rPr>
          <w:rFonts w:ascii="Arial" w:hAnsi="Arial" w:cs="Arial"/>
          <w:sz w:val="22"/>
          <w:szCs w:val="22"/>
        </w:rPr>
        <w:t>:</w:t>
      </w:r>
    </w:p>
    <w:p w14:paraId="12F6A639" w14:textId="282F9F5C" w:rsidR="00FA2BC7" w:rsidRPr="002C1ECF" w:rsidRDefault="002C1ECF" w:rsidP="00FA2BC7">
      <w:pPr>
        <w:ind w:left="2120" w:hanging="2120"/>
        <w:rPr>
          <w:rFonts w:ascii="Arial" w:hAnsi="Arial" w:cs="Arial"/>
          <w:sz w:val="22"/>
          <w:szCs w:val="22"/>
        </w:rPr>
      </w:pPr>
      <w:r w:rsidRPr="002C1ECF">
        <w:rPr>
          <w:rFonts w:ascii="Arial" w:hAnsi="Arial" w:cs="Arial"/>
          <w:sz w:val="22"/>
          <w:szCs w:val="22"/>
        </w:rPr>
        <w:tab/>
      </w:r>
      <w:r w:rsidRPr="002C1ECF">
        <w:rPr>
          <w:rFonts w:ascii="Arial" w:hAnsi="Arial" w:cs="Arial"/>
          <w:sz w:val="22"/>
          <w:szCs w:val="22"/>
        </w:rPr>
        <w:tab/>
      </w:r>
      <w:r w:rsidR="00FA2BC7" w:rsidRPr="002C1ECF">
        <w:rPr>
          <w:rFonts w:ascii="Arial" w:hAnsi="Arial" w:cs="Arial"/>
          <w:sz w:val="22"/>
          <w:szCs w:val="22"/>
        </w:rPr>
        <w:t>Průměrná spotřeba tepelné energie bude suma spotřeby tepelné energie za zvolené období vydělená bilanční hodnotou sušiny usušeného kalu. Spotřeba tepelné energie bude zahrnovat všechna zařízení sušárny, a to včetně periférií.</w:t>
      </w:r>
    </w:p>
    <w:sectPr w:rsidR="00FA2BC7" w:rsidRPr="002C1ECF" w:rsidSect="002C1ECF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0FF0F" w14:textId="77777777" w:rsidR="00C92E9C" w:rsidRDefault="00C92E9C" w:rsidP="00161B4F">
      <w:r>
        <w:separator/>
      </w:r>
    </w:p>
  </w:endnote>
  <w:endnote w:type="continuationSeparator" w:id="0">
    <w:p w14:paraId="7F82F66B" w14:textId="77777777" w:rsidR="00C92E9C" w:rsidRDefault="00C92E9C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NeueLTPro-M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9F7B5" w14:textId="1B00129A" w:rsidR="00CB11D2" w:rsidRPr="00512230" w:rsidRDefault="00CB11D2" w:rsidP="004B53D5">
    <w:pPr>
      <w:pStyle w:val="Zpat"/>
      <w:jc w:val="right"/>
      <w:rPr>
        <w:rFonts w:ascii="Arial" w:hAnsi="Arial" w:cs="Arial"/>
        <w:sz w:val="20"/>
        <w:szCs w:val="22"/>
      </w:rPr>
    </w:pPr>
    <w:r w:rsidRPr="00512230">
      <w:rPr>
        <w:rFonts w:ascii="Arial" w:hAnsi="Arial" w:cs="Arial"/>
        <w:sz w:val="20"/>
        <w:szCs w:val="18"/>
      </w:rPr>
      <w:t xml:space="preserve">Stránka </w:t>
    </w:r>
    <w:r w:rsidR="007C2A08" w:rsidRPr="00512230">
      <w:rPr>
        <w:rFonts w:ascii="Arial" w:hAnsi="Arial" w:cs="Arial"/>
        <w:b/>
        <w:sz w:val="20"/>
        <w:szCs w:val="18"/>
      </w:rPr>
      <w:fldChar w:fldCharType="begin"/>
    </w:r>
    <w:r w:rsidRPr="00512230">
      <w:rPr>
        <w:rFonts w:ascii="Arial" w:hAnsi="Arial" w:cs="Arial"/>
        <w:b/>
        <w:sz w:val="20"/>
        <w:szCs w:val="18"/>
      </w:rPr>
      <w:instrText>PAGE</w:instrText>
    </w:r>
    <w:r w:rsidR="007C2A08" w:rsidRPr="00512230">
      <w:rPr>
        <w:rFonts w:ascii="Arial" w:hAnsi="Arial" w:cs="Arial"/>
        <w:b/>
        <w:sz w:val="20"/>
        <w:szCs w:val="18"/>
      </w:rPr>
      <w:fldChar w:fldCharType="separate"/>
    </w:r>
    <w:r w:rsidR="008B3166" w:rsidRPr="00512230">
      <w:rPr>
        <w:rFonts w:ascii="Arial" w:hAnsi="Arial" w:cs="Arial"/>
        <w:b/>
        <w:noProof/>
        <w:sz w:val="20"/>
        <w:szCs w:val="18"/>
      </w:rPr>
      <w:t>1</w:t>
    </w:r>
    <w:r w:rsidR="007C2A08" w:rsidRPr="00512230">
      <w:rPr>
        <w:rFonts w:ascii="Arial" w:hAnsi="Arial" w:cs="Arial"/>
        <w:b/>
        <w:sz w:val="20"/>
        <w:szCs w:val="18"/>
      </w:rPr>
      <w:fldChar w:fldCharType="end"/>
    </w:r>
    <w:r w:rsidRPr="00512230">
      <w:rPr>
        <w:rFonts w:ascii="Arial" w:hAnsi="Arial" w:cs="Arial"/>
        <w:sz w:val="20"/>
        <w:szCs w:val="18"/>
      </w:rPr>
      <w:t xml:space="preserve"> z </w:t>
    </w:r>
    <w:r w:rsidR="007C2A08" w:rsidRPr="00512230">
      <w:rPr>
        <w:rFonts w:ascii="Arial" w:hAnsi="Arial" w:cs="Arial"/>
        <w:b/>
        <w:sz w:val="20"/>
        <w:szCs w:val="18"/>
      </w:rPr>
      <w:fldChar w:fldCharType="begin"/>
    </w:r>
    <w:r w:rsidRPr="00512230">
      <w:rPr>
        <w:rFonts w:ascii="Arial" w:hAnsi="Arial" w:cs="Arial"/>
        <w:b/>
        <w:sz w:val="20"/>
        <w:szCs w:val="18"/>
      </w:rPr>
      <w:instrText>NUMPAGES</w:instrText>
    </w:r>
    <w:r w:rsidR="007C2A08" w:rsidRPr="00512230">
      <w:rPr>
        <w:rFonts w:ascii="Arial" w:hAnsi="Arial" w:cs="Arial"/>
        <w:b/>
        <w:sz w:val="20"/>
        <w:szCs w:val="18"/>
      </w:rPr>
      <w:fldChar w:fldCharType="separate"/>
    </w:r>
    <w:r w:rsidR="008B3166" w:rsidRPr="00512230">
      <w:rPr>
        <w:rFonts w:ascii="Arial" w:hAnsi="Arial" w:cs="Arial"/>
        <w:b/>
        <w:noProof/>
        <w:sz w:val="20"/>
        <w:szCs w:val="18"/>
      </w:rPr>
      <w:t>9</w:t>
    </w:r>
    <w:r w:rsidR="007C2A08" w:rsidRPr="00512230">
      <w:rPr>
        <w:rFonts w:ascii="Arial" w:hAnsi="Arial" w:cs="Arial"/>
        <w:b/>
        <w:sz w:val="20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6F4CC" w14:textId="77777777" w:rsidR="00CB11D2" w:rsidRDefault="007C2A08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45FA3351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292E4" w14:textId="77777777" w:rsidR="00C92E9C" w:rsidRDefault="00C92E9C" w:rsidP="00161B4F">
      <w:r>
        <w:separator/>
      </w:r>
    </w:p>
  </w:footnote>
  <w:footnote w:type="continuationSeparator" w:id="0">
    <w:p w14:paraId="2D7DB36B" w14:textId="77777777" w:rsidR="00C92E9C" w:rsidRDefault="00C92E9C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A1F95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C9B79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D3746"/>
    <w:multiLevelType w:val="hybridMultilevel"/>
    <w:tmpl w:val="85885A6A"/>
    <w:lvl w:ilvl="0" w:tplc="85E887B2">
      <w:start w:val="1"/>
      <w:numFmt w:val="ordinal"/>
      <w:lvlText w:val="T %1"/>
      <w:lvlJc w:val="left"/>
      <w:pPr>
        <w:ind w:left="10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22" w:hanging="360"/>
      </w:pPr>
    </w:lvl>
    <w:lvl w:ilvl="2" w:tplc="0405001B" w:tentative="1">
      <w:start w:val="1"/>
      <w:numFmt w:val="lowerRoman"/>
      <w:lvlText w:val="%3."/>
      <w:lvlJc w:val="right"/>
      <w:pPr>
        <w:ind w:left="2442" w:hanging="180"/>
      </w:pPr>
    </w:lvl>
    <w:lvl w:ilvl="3" w:tplc="0405000F" w:tentative="1">
      <w:start w:val="1"/>
      <w:numFmt w:val="decimal"/>
      <w:lvlText w:val="%4."/>
      <w:lvlJc w:val="left"/>
      <w:pPr>
        <w:ind w:left="3162" w:hanging="360"/>
      </w:pPr>
    </w:lvl>
    <w:lvl w:ilvl="4" w:tplc="04050019" w:tentative="1">
      <w:start w:val="1"/>
      <w:numFmt w:val="lowerLetter"/>
      <w:lvlText w:val="%5."/>
      <w:lvlJc w:val="left"/>
      <w:pPr>
        <w:ind w:left="3882" w:hanging="360"/>
      </w:pPr>
    </w:lvl>
    <w:lvl w:ilvl="5" w:tplc="0405001B" w:tentative="1">
      <w:start w:val="1"/>
      <w:numFmt w:val="lowerRoman"/>
      <w:lvlText w:val="%6."/>
      <w:lvlJc w:val="right"/>
      <w:pPr>
        <w:ind w:left="4602" w:hanging="180"/>
      </w:pPr>
    </w:lvl>
    <w:lvl w:ilvl="6" w:tplc="0405000F" w:tentative="1">
      <w:start w:val="1"/>
      <w:numFmt w:val="decimal"/>
      <w:lvlText w:val="%7."/>
      <w:lvlJc w:val="left"/>
      <w:pPr>
        <w:ind w:left="5322" w:hanging="360"/>
      </w:pPr>
    </w:lvl>
    <w:lvl w:ilvl="7" w:tplc="04050019" w:tentative="1">
      <w:start w:val="1"/>
      <w:numFmt w:val="lowerLetter"/>
      <w:lvlText w:val="%8."/>
      <w:lvlJc w:val="left"/>
      <w:pPr>
        <w:ind w:left="6042" w:hanging="360"/>
      </w:pPr>
    </w:lvl>
    <w:lvl w:ilvl="8" w:tplc="040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" w15:restartNumberingAfterBreak="0">
    <w:nsid w:val="294337BA"/>
    <w:multiLevelType w:val="hybridMultilevel"/>
    <w:tmpl w:val="85885A6A"/>
    <w:lvl w:ilvl="0" w:tplc="85E887B2">
      <w:start w:val="1"/>
      <w:numFmt w:val="ordinal"/>
      <w:lvlText w:val="T %1"/>
      <w:lvlJc w:val="left"/>
      <w:pPr>
        <w:ind w:left="177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95C78"/>
    <w:multiLevelType w:val="hybridMultilevel"/>
    <w:tmpl w:val="85885A6A"/>
    <w:lvl w:ilvl="0" w:tplc="85E887B2">
      <w:start w:val="1"/>
      <w:numFmt w:val="ordinal"/>
      <w:lvlText w:val="T %1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4781D"/>
    <w:multiLevelType w:val="hybridMultilevel"/>
    <w:tmpl w:val="9A7852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3604818">
    <w:abstractNumId w:val="3"/>
  </w:num>
  <w:num w:numId="2" w16cid:durableId="295839554">
    <w:abstractNumId w:val="0"/>
  </w:num>
  <w:num w:numId="3" w16cid:durableId="1325352551">
    <w:abstractNumId w:val="1"/>
  </w:num>
  <w:num w:numId="4" w16cid:durableId="14843968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B4F"/>
    <w:rsid w:val="00002880"/>
    <w:rsid w:val="00005552"/>
    <w:rsid w:val="00013D6E"/>
    <w:rsid w:val="00037B15"/>
    <w:rsid w:val="00044C8D"/>
    <w:rsid w:val="000533A9"/>
    <w:rsid w:val="000604AC"/>
    <w:rsid w:val="0007209C"/>
    <w:rsid w:val="00073EEC"/>
    <w:rsid w:val="00092A0A"/>
    <w:rsid w:val="0009466D"/>
    <w:rsid w:val="000B330E"/>
    <w:rsid w:val="000B5DC1"/>
    <w:rsid w:val="000C63B4"/>
    <w:rsid w:val="000E5836"/>
    <w:rsid w:val="000E5BD8"/>
    <w:rsid w:val="000F0999"/>
    <w:rsid w:val="000F33D5"/>
    <w:rsid w:val="0010091E"/>
    <w:rsid w:val="0011336F"/>
    <w:rsid w:val="001201F4"/>
    <w:rsid w:val="001212A6"/>
    <w:rsid w:val="001310DA"/>
    <w:rsid w:val="00133EBF"/>
    <w:rsid w:val="001372A2"/>
    <w:rsid w:val="00140581"/>
    <w:rsid w:val="00146A65"/>
    <w:rsid w:val="00156A56"/>
    <w:rsid w:val="001603A0"/>
    <w:rsid w:val="00161B4F"/>
    <w:rsid w:val="00165EDE"/>
    <w:rsid w:val="00184765"/>
    <w:rsid w:val="00186C3D"/>
    <w:rsid w:val="00190E9B"/>
    <w:rsid w:val="00193711"/>
    <w:rsid w:val="001A015F"/>
    <w:rsid w:val="001A17C0"/>
    <w:rsid w:val="001A43E6"/>
    <w:rsid w:val="001B1393"/>
    <w:rsid w:val="001B44E0"/>
    <w:rsid w:val="001C2155"/>
    <w:rsid w:val="001C512D"/>
    <w:rsid w:val="001D18F7"/>
    <w:rsid w:val="001D20D4"/>
    <w:rsid w:val="001E24FD"/>
    <w:rsid w:val="001E7F11"/>
    <w:rsid w:val="00206B34"/>
    <w:rsid w:val="00211BAC"/>
    <w:rsid w:val="0021240C"/>
    <w:rsid w:val="00242239"/>
    <w:rsid w:val="00250945"/>
    <w:rsid w:val="00274A49"/>
    <w:rsid w:val="002960CB"/>
    <w:rsid w:val="002A1309"/>
    <w:rsid w:val="002A2A3C"/>
    <w:rsid w:val="002A7076"/>
    <w:rsid w:val="002C1ECF"/>
    <w:rsid w:val="002D0053"/>
    <w:rsid w:val="002E5D9B"/>
    <w:rsid w:val="002F3687"/>
    <w:rsid w:val="0030162D"/>
    <w:rsid w:val="003053E2"/>
    <w:rsid w:val="00311681"/>
    <w:rsid w:val="00325E68"/>
    <w:rsid w:val="00326708"/>
    <w:rsid w:val="00331321"/>
    <w:rsid w:val="00346B37"/>
    <w:rsid w:val="00367C40"/>
    <w:rsid w:val="00376A6A"/>
    <w:rsid w:val="003805BD"/>
    <w:rsid w:val="00381A5A"/>
    <w:rsid w:val="00384C6B"/>
    <w:rsid w:val="00390BA7"/>
    <w:rsid w:val="00393188"/>
    <w:rsid w:val="003A2D4F"/>
    <w:rsid w:val="003A5E64"/>
    <w:rsid w:val="003B2B23"/>
    <w:rsid w:val="003B7D44"/>
    <w:rsid w:val="003D59DC"/>
    <w:rsid w:val="003D7993"/>
    <w:rsid w:val="003E3C78"/>
    <w:rsid w:val="003E6A4A"/>
    <w:rsid w:val="003F15D2"/>
    <w:rsid w:val="003F1644"/>
    <w:rsid w:val="003F3EEB"/>
    <w:rsid w:val="003F4E2A"/>
    <w:rsid w:val="003F5BDF"/>
    <w:rsid w:val="0040255A"/>
    <w:rsid w:val="004149F6"/>
    <w:rsid w:val="0041729E"/>
    <w:rsid w:val="004336EF"/>
    <w:rsid w:val="0043466F"/>
    <w:rsid w:val="004358D2"/>
    <w:rsid w:val="004364BF"/>
    <w:rsid w:val="00440869"/>
    <w:rsid w:val="004412C6"/>
    <w:rsid w:val="00444213"/>
    <w:rsid w:val="00444A40"/>
    <w:rsid w:val="00446BA9"/>
    <w:rsid w:val="0045115B"/>
    <w:rsid w:val="00454645"/>
    <w:rsid w:val="004636E3"/>
    <w:rsid w:val="004672EA"/>
    <w:rsid w:val="00476195"/>
    <w:rsid w:val="00493DAA"/>
    <w:rsid w:val="00495C70"/>
    <w:rsid w:val="004B53D5"/>
    <w:rsid w:val="004C6950"/>
    <w:rsid w:val="004D2DA2"/>
    <w:rsid w:val="004E5558"/>
    <w:rsid w:val="004F0CD8"/>
    <w:rsid w:val="004F3EA3"/>
    <w:rsid w:val="0050253A"/>
    <w:rsid w:val="005032BF"/>
    <w:rsid w:val="00512230"/>
    <w:rsid w:val="00527A00"/>
    <w:rsid w:val="005334A1"/>
    <w:rsid w:val="00537E1B"/>
    <w:rsid w:val="00541606"/>
    <w:rsid w:val="00543639"/>
    <w:rsid w:val="0054425D"/>
    <w:rsid w:val="0054794E"/>
    <w:rsid w:val="00550FBE"/>
    <w:rsid w:val="005561D4"/>
    <w:rsid w:val="00556F94"/>
    <w:rsid w:val="00561A31"/>
    <w:rsid w:val="00563FDA"/>
    <w:rsid w:val="00571F45"/>
    <w:rsid w:val="00572E07"/>
    <w:rsid w:val="005813C7"/>
    <w:rsid w:val="00592C64"/>
    <w:rsid w:val="00594078"/>
    <w:rsid w:val="005A03CE"/>
    <w:rsid w:val="005A5F49"/>
    <w:rsid w:val="005B5B42"/>
    <w:rsid w:val="005C0248"/>
    <w:rsid w:val="005C0BD3"/>
    <w:rsid w:val="005C34A6"/>
    <w:rsid w:val="005D0A02"/>
    <w:rsid w:val="005E5D44"/>
    <w:rsid w:val="006013FF"/>
    <w:rsid w:val="00603888"/>
    <w:rsid w:val="00606630"/>
    <w:rsid w:val="00620404"/>
    <w:rsid w:val="00623FDB"/>
    <w:rsid w:val="00636A37"/>
    <w:rsid w:val="00641BBE"/>
    <w:rsid w:val="00642E1C"/>
    <w:rsid w:val="00664EC4"/>
    <w:rsid w:val="00671B2F"/>
    <w:rsid w:val="00684FE5"/>
    <w:rsid w:val="00686A74"/>
    <w:rsid w:val="006877D5"/>
    <w:rsid w:val="0069165D"/>
    <w:rsid w:val="0069579D"/>
    <w:rsid w:val="00695969"/>
    <w:rsid w:val="006A61F8"/>
    <w:rsid w:val="006B3329"/>
    <w:rsid w:val="006C5EAE"/>
    <w:rsid w:val="006D2A5D"/>
    <w:rsid w:val="006E3FB3"/>
    <w:rsid w:val="006F3A1C"/>
    <w:rsid w:val="006F65D6"/>
    <w:rsid w:val="006F728D"/>
    <w:rsid w:val="00715995"/>
    <w:rsid w:val="00727A6C"/>
    <w:rsid w:val="00731DFF"/>
    <w:rsid w:val="0073304A"/>
    <w:rsid w:val="007336B4"/>
    <w:rsid w:val="00736CF5"/>
    <w:rsid w:val="00757D52"/>
    <w:rsid w:val="00763615"/>
    <w:rsid w:val="0077173E"/>
    <w:rsid w:val="007A0271"/>
    <w:rsid w:val="007A1E04"/>
    <w:rsid w:val="007A3902"/>
    <w:rsid w:val="007C1A40"/>
    <w:rsid w:val="007C2A08"/>
    <w:rsid w:val="007C577E"/>
    <w:rsid w:val="007C6991"/>
    <w:rsid w:val="007D7423"/>
    <w:rsid w:val="00805EFC"/>
    <w:rsid w:val="00807866"/>
    <w:rsid w:val="00814A99"/>
    <w:rsid w:val="00824D1C"/>
    <w:rsid w:val="00830C1A"/>
    <w:rsid w:val="00837966"/>
    <w:rsid w:val="00840288"/>
    <w:rsid w:val="00847269"/>
    <w:rsid w:val="00852545"/>
    <w:rsid w:val="008555E2"/>
    <w:rsid w:val="00860906"/>
    <w:rsid w:val="00860AF2"/>
    <w:rsid w:val="00860D31"/>
    <w:rsid w:val="0086128E"/>
    <w:rsid w:val="00864B5A"/>
    <w:rsid w:val="00872E63"/>
    <w:rsid w:val="008802E9"/>
    <w:rsid w:val="008865B4"/>
    <w:rsid w:val="00887B29"/>
    <w:rsid w:val="00891266"/>
    <w:rsid w:val="00891947"/>
    <w:rsid w:val="0089243B"/>
    <w:rsid w:val="008A77EA"/>
    <w:rsid w:val="008B3166"/>
    <w:rsid w:val="008C5993"/>
    <w:rsid w:val="008C6ABE"/>
    <w:rsid w:val="008C6D30"/>
    <w:rsid w:val="008D396F"/>
    <w:rsid w:val="008D4E96"/>
    <w:rsid w:val="009008D2"/>
    <w:rsid w:val="00903D6C"/>
    <w:rsid w:val="00905DAD"/>
    <w:rsid w:val="00915BD3"/>
    <w:rsid w:val="00916D28"/>
    <w:rsid w:val="009338E5"/>
    <w:rsid w:val="00933DE3"/>
    <w:rsid w:val="00940FC1"/>
    <w:rsid w:val="009606FD"/>
    <w:rsid w:val="0096466A"/>
    <w:rsid w:val="009808BF"/>
    <w:rsid w:val="009917A6"/>
    <w:rsid w:val="009976D6"/>
    <w:rsid w:val="009A278D"/>
    <w:rsid w:val="009C7F23"/>
    <w:rsid w:val="009D785A"/>
    <w:rsid w:val="009E0E5B"/>
    <w:rsid w:val="009E50FC"/>
    <w:rsid w:val="009F1207"/>
    <w:rsid w:val="00A016F9"/>
    <w:rsid w:val="00A06A6B"/>
    <w:rsid w:val="00A13EBA"/>
    <w:rsid w:val="00A1749F"/>
    <w:rsid w:val="00A2709A"/>
    <w:rsid w:val="00A30280"/>
    <w:rsid w:val="00A33AB7"/>
    <w:rsid w:val="00A33B16"/>
    <w:rsid w:val="00A34568"/>
    <w:rsid w:val="00A35349"/>
    <w:rsid w:val="00A355F4"/>
    <w:rsid w:val="00A36639"/>
    <w:rsid w:val="00A42931"/>
    <w:rsid w:val="00A56EB5"/>
    <w:rsid w:val="00A63C45"/>
    <w:rsid w:val="00A668AF"/>
    <w:rsid w:val="00A67E4B"/>
    <w:rsid w:val="00A804D6"/>
    <w:rsid w:val="00A93E80"/>
    <w:rsid w:val="00A950C0"/>
    <w:rsid w:val="00A97BBE"/>
    <w:rsid w:val="00AA08DC"/>
    <w:rsid w:val="00AB2379"/>
    <w:rsid w:val="00AB2F47"/>
    <w:rsid w:val="00AB341A"/>
    <w:rsid w:val="00AD4519"/>
    <w:rsid w:val="00AD53CE"/>
    <w:rsid w:val="00AE0092"/>
    <w:rsid w:val="00AE0706"/>
    <w:rsid w:val="00AE4079"/>
    <w:rsid w:val="00AF59C1"/>
    <w:rsid w:val="00B0203F"/>
    <w:rsid w:val="00B059C2"/>
    <w:rsid w:val="00B071C9"/>
    <w:rsid w:val="00B15EB9"/>
    <w:rsid w:val="00B22F1D"/>
    <w:rsid w:val="00B26BDF"/>
    <w:rsid w:val="00B347D9"/>
    <w:rsid w:val="00B3516C"/>
    <w:rsid w:val="00B442F6"/>
    <w:rsid w:val="00B44DFE"/>
    <w:rsid w:val="00B610E5"/>
    <w:rsid w:val="00B64371"/>
    <w:rsid w:val="00B6793F"/>
    <w:rsid w:val="00B76B7E"/>
    <w:rsid w:val="00B800A1"/>
    <w:rsid w:val="00B83928"/>
    <w:rsid w:val="00B92ECB"/>
    <w:rsid w:val="00B930E8"/>
    <w:rsid w:val="00B94D04"/>
    <w:rsid w:val="00BB5C65"/>
    <w:rsid w:val="00BC04A2"/>
    <w:rsid w:val="00BC4192"/>
    <w:rsid w:val="00BC6241"/>
    <w:rsid w:val="00BD1309"/>
    <w:rsid w:val="00BE5CE7"/>
    <w:rsid w:val="00BF5E9A"/>
    <w:rsid w:val="00BF6F24"/>
    <w:rsid w:val="00C06056"/>
    <w:rsid w:val="00C063E0"/>
    <w:rsid w:val="00C074F6"/>
    <w:rsid w:val="00C077E6"/>
    <w:rsid w:val="00C11F44"/>
    <w:rsid w:val="00C379B3"/>
    <w:rsid w:val="00C403B1"/>
    <w:rsid w:val="00C7015E"/>
    <w:rsid w:val="00C71BFF"/>
    <w:rsid w:val="00C76DD8"/>
    <w:rsid w:val="00C92E9C"/>
    <w:rsid w:val="00CA086B"/>
    <w:rsid w:val="00CA0A18"/>
    <w:rsid w:val="00CA4E19"/>
    <w:rsid w:val="00CB02B0"/>
    <w:rsid w:val="00CB11D2"/>
    <w:rsid w:val="00CC2901"/>
    <w:rsid w:val="00CC5EF8"/>
    <w:rsid w:val="00CD1964"/>
    <w:rsid w:val="00CE6182"/>
    <w:rsid w:val="00CF38F9"/>
    <w:rsid w:val="00D106D9"/>
    <w:rsid w:val="00D20EC1"/>
    <w:rsid w:val="00D27338"/>
    <w:rsid w:val="00D32F63"/>
    <w:rsid w:val="00D40A9D"/>
    <w:rsid w:val="00D44968"/>
    <w:rsid w:val="00D60FE1"/>
    <w:rsid w:val="00D66A1F"/>
    <w:rsid w:val="00D719E5"/>
    <w:rsid w:val="00D7531D"/>
    <w:rsid w:val="00D753A2"/>
    <w:rsid w:val="00D84661"/>
    <w:rsid w:val="00D91510"/>
    <w:rsid w:val="00D91F68"/>
    <w:rsid w:val="00DA2BD3"/>
    <w:rsid w:val="00DA32D9"/>
    <w:rsid w:val="00DA4C56"/>
    <w:rsid w:val="00DA5B30"/>
    <w:rsid w:val="00DA692F"/>
    <w:rsid w:val="00DA7963"/>
    <w:rsid w:val="00DB0980"/>
    <w:rsid w:val="00DC2282"/>
    <w:rsid w:val="00DC4685"/>
    <w:rsid w:val="00DD6E52"/>
    <w:rsid w:val="00DE027F"/>
    <w:rsid w:val="00DE769D"/>
    <w:rsid w:val="00E12278"/>
    <w:rsid w:val="00E16440"/>
    <w:rsid w:val="00E231DE"/>
    <w:rsid w:val="00E30B40"/>
    <w:rsid w:val="00E41CAA"/>
    <w:rsid w:val="00E554FE"/>
    <w:rsid w:val="00E5705B"/>
    <w:rsid w:val="00E61BFB"/>
    <w:rsid w:val="00E62F47"/>
    <w:rsid w:val="00E71CC1"/>
    <w:rsid w:val="00E7754C"/>
    <w:rsid w:val="00E81F01"/>
    <w:rsid w:val="00E90678"/>
    <w:rsid w:val="00E92177"/>
    <w:rsid w:val="00E93BF7"/>
    <w:rsid w:val="00E93DA4"/>
    <w:rsid w:val="00EA1193"/>
    <w:rsid w:val="00EA4F56"/>
    <w:rsid w:val="00EA6649"/>
    <w:rsid w:val="00EA716F"/>
    <w:rsid w:val="00EC6D64"/>
    <w:rsid w:val="00EE5063"/>
    <w:rsid w:val="00EF00D7"/>
    <w:rsid w:val="00EF10D9"/>
    <w:rsid w:val="00EF1B09"/>
    <w:rsid w:val="00EF55EB"/>
    <w:rsid w:val="00EF6EEB"/>
    <w:rsid w:val="00EF7B69"/>
    <w:rsid w:val="00F03432"/>
    <w:rsid w:val="00F0436C"/>
    <w:rsid w:val="00F24EB2"/>
    <w:rsid w:val="00F43946"/>
    <w:rsid w:val="00F4676F"/>
    <w:rsid w:val="00F46F42"/>
    <w:rsid w:val="00F47805"/>
    <w:rsid w:val="00F51E5E"/>
    <w:rsid w:val="00F56C5B"/>
    <w:rsid w:val="00F56D19"/>
    <w:rsid w:val="00F66E6D"/>
    <w:rsid w:val="00F708B3"/>
    <w:rsid w:val="00F763A1"/>
    <w:rsid w:val="00F76815"/>
    <w:rsid w:val="00F77692"/>
    <w:rsid w:val="00F82529"/>
    <w:rsid w:val="00F83539"/>
    <w:rsid w:val="00F907E7"/>
    <w:rsid w:val="00F9604F"/>
    <w:rsid w:val="00FA2BC7"/>
    <w:rsid w:val="00FA3023"/>
    <w:rsid w:val="00FB20D4"/>
    <w:rsid w:val="00FC1D51"/>
    <w:rsid w:val="00FE23B8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9F7F74"/>
  <w15:docId w15:val="{D1DE5AB7-8824-4B02-8115-934A93185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paragraph" w:customStyle="1" w:styleId="text">
    <w:name w:val="text"/>
    <w:rsid w:val="0089243B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table" w:styleId="Mkatabulky">
    <w:name w:val="Table Grid"/>
    <w:basedOn w:val="Normlntabulka"/>
    <w:uiPriority w:val="39"/>
    <w:rsid w:val="0089243B"/>
    <w:rPr>
      <w:rFonts w:asciiTheme="minorHAnsi" w:eastAsia="Times New Roman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blk">
    <w:name w:val="tblk"/>
    <w:basedOn w:val="Standardnpsmoodstavce"/>
    <w:rsid w:val="00757D52"/>
  </w:style>
  <w:style w:type="character" w:styleId="Odkaznakoment">
    <w:name w:val="annotation reference"/>
    <w:basedOn w:val="Standardnpsmoodstavce"/>
    <w:uiPriority w:val="99"/>
    <w:semiHidden/>
    <w:unhideWhenUsed/>
    <w:rsid w:val="00C37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379B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379B3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79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79B3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EA716F"/>
    <w:rPr>
      <w:rFonts w:ascii="Times New Roman" w:eastAsia="Times New Roman" w:hAnsi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310DA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905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E9ADC-F11C-433D-B39E-43BF108D0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Lukáš Pruška</dc:creator>
  <cp:keywords/>
  <cp:lastModifiedBy>Hana Randýsková</cp:lastModifiedBy>
  <cp:revision>3</cp:revision>
  <dcterms:created xsi:type="dcterms:W3CDTF">2022-08-29T14:49:00Z</dcterms:created>
  <dcterms:modified xsi:type="dcterms:W3CDTF">2022-08-29T14:50:00Z</dcterms:modified>
</cp:coreProperties>
</file>